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6F" w:rsidRDefault="00B82C6F" w:rsidP="00B82C6F">
      <w:pPr>
        <w:pStyle w:val="3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</w:t>
      </w:r>
      <w:r w:rsidRPr="00B6029E">
        <w:rPr>
          <w:b w:val="0"/>
          <w:bCs w:val="0"/>
          <w:color w:val="auto"/>
        </w:rPr>
        <w:t>Приложение 1</w:t>
      </w:r>
    </w:p>
    <w:p w:rsidR="00B82C6F" w:rsidRPr="008F69D5" w:rsidRDefault="00B82C6F" w:rsidP="00B82C6F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8F69D5">
        <w:rPr>
          <w:rFonts w:ascii="Times New Roman" w:hAnsi="Times New Roman" w:cs="Times New Roman"/>
          <w:b w:val="0"/>
          <w:bCs w:val="0"/>
          <w:color w:val="auto"/>
        </w:rPr>
        <w:t>Форма журнала учета образования и движения отхода 1 класса опасности «</w:t>
      </w:r>
      <w:r w:rsidRPr="008F69D5">
        <w:rPr>
          <w:rFonts w:ascii="Times New Roman" w:hAnsi="Times New Roman" w:cs="Times New Roman"/>
          <w:color w:val="auto"/>
        </w:rPr>
        <w:t>Ртутные лампы, люминесцентные ртутьсодержащие трубки отработанные и брак</w:t>
      </w:r>
      <w:r w:rsidRPr="008F69D5">
        <w:rPr>
          <w:rFonts w:ascii="Times New Roman" w:hAnsi="Times New Roman" w:cs="Times New Roman"/>
          <w:b w:val="0"/>
          <w:bCs w:val="0"/>
          <w:color w:val="auto"/>
        </w:rPr>
        <w:t>»</w:t>
      </w:r>
    </w:p>
    <w:p w:rsidR="00B82C6F" w:rsidRDefault="00B82C6F" w:rsidP="00B82C6F">
      <w:pPr>
        <w:pStyle w:val="a3"/>
        <w:spacing w:after="0" w:afterAutospacing="0"/>
        <w:jc w:val="center"/>
      </w:pPr>
      <w:r w:rsidRPr="008F69D5">
        <w:t>(титульный лист)</w:t>
      </w:r>
    </w:p>
    <w:p w:rsidR="00B82C6F" w:rsidRDefault="00B82C6F" w:rsidP="00B82C6F">
      <w:pPr>
        <w:pStyle w:val="a3"/>
        <w:pBdr>
          <w:bottom w:val="single" w:sz="12" w:space="1" w:color="000000"/>
        </w:pBdr>
        <w:spacing w:after="0" w:afterAutospacing="0"/>
      </w:pPr>
      <w:r>
        <w:t> </w:t>
      </w:r>
    </w:p>
    <w:p w:rsidR="00B82C6F" w:rsidRDefault="00B82C6F" w:rsidP="00B82C6F">
      <w:pPr>
        <w:pStyle w:val="a3"/>
        <w:spacing w:after="0" w:afterAutospacing="0"/>
        <w:jc w:val="center"/>
      </w:pPr>
      <w:r>
        <w:rPr>
          <w:sz w:val="18"/>
          <w:szCs w:val="18"/>
        </w:rPr>
        <w:t>Наименование организации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p w:rsidR="00B82C6F" w:rsidRDefault="00B82C6F" w:rsidP="00B82C6F">
      <w:pPr>
        <w:pStyle w:val="a3"/>
        <w:spacing w:after="0" w:afterAutospacing="0" w:line="360" w:lineRule="auto"/>
        <w:jc w:val="center"/>
      </w:pPr>
      <w:r>
        <w:rPr>
          <w:rStyle w:val="a4"/>
          <w:sz w:val="44"/>
          <w:szCs w:val="44"/>
        </w:rPr>
        <w:t xml:space="preserve">ЖУРНАЛ </w:t>
      </w:r>
    </w:p>
    <w:p w:rsidR="00B82C6F" w:rsidRDefault="00B82C6F" w:rsidP="00B82C6F">
      <w:pPr>
        <w:pStyle w:val="a3"/>
        <w:spacing w:after="0" w:afterAutospacing="0"/>
        <w:jc w:val="center"/>
      </w:pPr>
      <w:r>
        <w:rPr>
          <w:rStyle w:val="a4"/>
          <w:sz w:val="52"/>
          <w:szCs w:val="52"/>
        </w:rPr>
        <w:t xml:space="preserve">учета отхода 1 класса опасности </w:t>
      </w:r>
    </w:p>
    <w:p w:rsidR="00B82C6F" w:rsidRDefault="00B82C6F" w:rsidP="00B82C6F">
      <w:pPr>
        <w:pStyle w:val="a3"/>
        <w:spacing w:after="0" w:afterAutospacing="0"/>
        <w:jc w:val="center"/>
      </w:pPr>
      <w:r>
        <w:rPr>
          <w:rStyle w:val="a4"/>
          <w:sz w:val="52"/>
          <w:szCs w:val="52"/>
        </w:rPr>
        <w:t>«Ртутные лампы, люминесцентные ртутьсодержащие трубки отработанные и брак»</w:t>
      </w:r>
    </w:p>
    <w:p w:rsidR="00B82C6F" w:rsidRDefault="00B82C6F" w:rsidP="00B82C6F">
      <w:pPr>
        <w:pStyle w:val="a3"/>
        <w:spacing w:after="0" w:afterAutospacing="0"/>
        <w:jc w:val="center"/>
      </w:pPr>
      <w:r>
        <w:t> 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tbl>
      <w:tblPr>
        <w:tblW w:w="5265" w:type="dxa"/>
        <w:jc w:val="center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2"/>
        <w:gridCol w:w="327"/>
        <w:gridCol w:w="2436"/>
      </w:tblGrid>
      <w:tr w:rsidR="00B82C6F" w:rsidTr="002B7846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rPr>
                <w:sz w:val="27"/>
                <w:szCs w:val="27"/>
              </w:rPr>
              <w:t>начат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</w:tr>
      <w:tr w:rsidR="00B82C6F" w:rsidTr="002B7846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center"/>
            </w:pPr>
            <w:r>
              <w:t>(дата)</w:t>
            </w:r>
          </w:p>
        </w:tc>
      </w:tr>
      <w:tr w:rsidR="00B82C6F" w:rsidTr="002B7846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rPr>
                <w:sz w:val="27"/>
                <w:szCs w:val="27"/>
              </w:rPr>
              <w:t>окончен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</w:tr>
      <w:tr w:rsidR="00B82C6F" w:rsidTr="002B7846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center"/>
            </w:pPr>
            <w:r>
              <w:t>(дата)</w:t>
            </w:r>
          </w:p>
        </w:tc>
      </w:tr>
      <w:tr w:rsidR="00B82C6F" w:rsidTr="002B7846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rPr>
                <w:sz w:val="27"/>
                <w:szCs w:val="27"/>
              </w:rPr>
              <w:t>Отв. за заполнение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</w:tr>
      <w:tr w:rsidR="00B82C6F" w:rsidTr="002B7846">
        <w:trPr>
          <w:tblCellSpacing w:w="0" w:type="dxa"/>
          <w:jc w:val="center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right"/>
            </w:pPr>
            <w: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2C6F" w:rsidRDefault="00B82C6F" w:rsidP="002B7846">
            <w:pPr>
              <w:pStyle w:val="a3"/>
              <w:jc w:val="center"/>
            </w:pPr>
            <w:r>
              <w:t>(Ф.И.О.)</w:t>
            </w:r>
          </w:p>
        </w:tc>
      </w:tr>
    </w:tbl>
    <w:p w:rsidR="00B82C6F" w:rsidRDefault="00B82C6F" w:rsidP="00B82C6F">
      <w:pPr>
        <w:pStyle w:val="a3"/>
        <w:spacing w:after="0" w:afterAutospacing="0"/>
        <w:jc w:val="right"/>
      </w:pPr>
      <w:r>
        <w:t> </w:t>
      </w:r>
    </w:p>
    <w:p w:rsidR="00B82C6F" w:rsidRDefault="00B82C6F" w:rsidP="00B82C6F">
      <w:pPr>
        <w:pStyle w:val="a3"/>
      </w:pPr>
      <w:r>
        <w:t> </w:t>
      </w:r>
    </w:p>
    <w:p w:rsidR="00B82C6F" w:rsidRDefault="00B82C6F" w:rsidP="00B82C6F">
      <w:pPr>
        <w:pStyle w:val="a3"/>
      </w:pPr>
      <w:r>
        <w:t> 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p w:rsidR="00B82C6F" w:rsidRDefault="00B82C6F" w:rsidP="00B82C6F">
      <w:pPr>
        <w:pStyle w:val="a3"/>
        <w:spacing w:after="0" w:afterAutospacing="0"/>
      </w:pPr>
      <w:r>
        <w:t> </w:t>
      </w:r>
    </w:p>
    <w:p w:rsidR="00B82C6F" w:rsidRDefault="00B82C6F" w:rsidP="00B82C6F">
      <w:pPr>
        <w:pStyle w:val="a3"/>
        <w:spacing w:before="0" w:beforeAutospacing="0" w:after="0" w:afterAutospacing="0"/>
      </w:pPr>
      <w:r>
        <w:lastRenderedPageBreak/>
        <w:t>Наименование отхода:                                            Ртутные лампы</w:t>
      </w:r>
      <w:r w:rsidRPr="005C08CA">
        <w:t>,</w:t>
      </w:r>
      <w:r>
        <w:t xml:space="preserve"> люминесцентные ртутьсодержащие </w:t>
      </w:r>
    </w:p>
    <w:p w:rsidR="00B82C6F" w:rsidRDefault="00B82C6F" w:rsidP="00B82C6F">
      <w:pPr>
        <w:pStyle w:val="a3"/>
        <w:spacing w:before="0" w:beforeAutospacing="0" w:after="0" w:afterAutospacing="0"/>
      </w:pPr>
      <w:r>
        <w:t xml:space="preserve"> Код ФККО  3533010013011                                                            трубки отработанные в брак</w:t>
      </w:r>
    </w:p>
    <w:p w:rsidR="00B82C6F" w:rsidRPr="008F69D5" w:rsidRDefault="00B82C6F" w:rsidP="00B82C6F">
      <w:pPr>
        <w:pStyle w:val="a3"/>
        <w:spacing w:before="0" w:beforeAutospacing="0" w:after="0" w:afterAutospacing="0"/>
      </w:pPr>
      <w:r>
        <w:t xml:space="preserve">                                                            </w:t>
      </w:r>
    </w:p>
    <w:p w:rsidR="00B82C6F" w:rsidRPr="008F69D5" w:rsidRDefault="00B82C6F" w:rsidP="00B82C6F">
      <w:pPr>
        <w:pStyle w:val="a3"/>
        <w:spacing w:before="0" w:beforeAutospacing="0" w:after="0" w:afterAutospacing="0"/>
      </w:pPr>
    </w:p>
    <w:p w:rsidR="00B82C6F" w:rsidRPr="008F69D5" w:rsidRDefault="00B82C6F" w:rsidP="00B82C6F">
      <w:pPr>
        <w:pStyle w:val="a3"/>
        <w:spacing w:before="0" w:beforeAutospacing="0" w:after="0" w:afterAutospacing="0"/>
      </w:pPr>
    </w:p>
    <w:p w:rsidR="00B82C6F" w:rsidRPr="003D276D" w:rsidRDefault="00B82C6F" w:rsidP="00B82C6F">
      <w:pPr>
        <w:pStyle w:val="a3"/>
        <w:spacing w:before="0" w:beforeAutospacing="0" w:after="0" w:afterAutospacing="0"/>
      </w:pPr>
      <w:r>
        <w:t>Единица измерения (</w:t>
      </w:r>
      <w:proofErr w:type="spellStart"/>
      <w:r>
        <w:t>шт.</w:t>
      </w:r>
      <w:proofErr w:type="gramStart"/>
      <w:r w:rsidRPr="003D276D">
        <w:t>,</w:t>
      </w:r>
      <w:r>
        <w:t>т</w:t>
      </w:r>
      <w:proofErr w:type="spellEnd"/>
      <w:proofErr w:type="gramEnd"/>
      <w:r>
        <w:t>):                                     штука</w:t>
      </w:r>
      <w:r w:rsidRPr="003D276D">
        <w:t>,</w:t>
      </w:r>
      <w:r>
        <w:t xml:space="preserve"> вес единицы </w:t>
      </w:r>
      <w:proofErr w:type="spellStart"/>
      <w:r>
        <w:t>отхода-тонн</w:t>
      </w:r>
      <w:proofErr w:type="spellEnd"/>
    </w:p>
    <w:p w:rsidR="00B82C6F" w:rsidRDefault="00B82C6F" w:rsidP="00B82C6F">
      <w:pPr>
        <w:pStyle w:val="a3"/>
        <w:spacing w:before="0" w:beforeAutospacing="0" w:after="0" w:afterAutospacing="0"/>
      </w:pPr>
      <w:r>
        <w:t>Номер и дата выдачи лимита:</w:t>
      </w:r>
    </w:p>
    <w:p w:rsidR="00B82C6F" w:rsidRPr="003D276D" w:rsidRDefault="00B82C6F" w:rsidP="00B82C6F">
      <w:pPr>
        <w:pStyle w:val="a3"/>
        <w:spacing w:before="0" w:beforeAutospacing="0" w:after="0" w:afterAutospacing="0"/>
      </w:pPr>
      <w:r>
        <w:t>Класс опасности</w:t>
      </w:r>
      <w:r w:rsidRPr="003D276D">
        <w:t>,</w:t>
      </w:r>
      <w:r>
        <w:t xml:space="preserve"> опасные свойства                        </w:t>
      </w:r>
      <w:r>
        <w:rPr>
          <w:lang w:val="en-US"/>
        </w:rPr>
        <w:t>I</w:t>
      </w:r>
      <w:r>
        <w:t>(чрезвычайно опасные)</w:t>
      </w:r>
      <w:r w:rsidRPr="003D276D">
        <w:t>,</w:t>
      </w:r>
      <w:r>
        <w:t xml:space="preserve"> токсичность</w:t>
      </w:r>
    </w:p>
    <w:p w:rsidR="00B82C6F" w:rsidRPr="003D276D" w:rsidRDefault="00B82C6F" w:rsidP="00B82C6F">
      <w:pPr>
        <w:pStyle w:val="a3"/>
        <w:spacing w:before="0" w:beforeAutospacing="0" w:after="0" w:afterAutospacing="0"/>
      </w:pPr>
      <w:r>
        <w:t>Установленный лимит размещения отходов:</w:t>
      </w:r>
    </w:p>
    <w:p w:rsidR="00B82C6F" w:rsidRDefault="00B82C6F" w:rsidP="00B82C6F">
      <w:pPr>
        <w:pStyle w:val="3"/>
      </w:pPr>
    </w:p>
    <w:tbl>
      <w:tblPr>
        <w:tblStyle w:val="a5"/>
        <w:tblW w:w="11118" w:type="dxa"/>
        <w:tblLayout w:type="fixed"/>
        <w:tblLook w:val="04A0"/>
      </w:tblPr>
      <w:tblGrid>
        <w:gridCol w:w="445"/>
        <w:gridCol w:w="797"/>
        <w:gridCol w:w="1560"/>
        <w:gridCol w:w="992"/>
        <w:gridCol w:w="850"/>
        <w:gridCol w:w="709"/>
        <w:gridCol w:w="709"/>
        <w:gridCol w:w="709"/>
        <w:gridCol w:w="708"/>
        <w:gridCol w:w="709"/>
        <w:gridCol w:w="709"/>
        <w:gridCol w:w="1080"/>
        <w:gridCol w:w="1141"/>
      </w:tblGrid>
      <w:tr w:rsidR="00B82C6F" w:rsidTr="002B7846">
        <w:tc>
          <w:tcPr>
            <w:tcW w:w="445" w:type="dxa"/>
            <w:vMerge w:val="restart"/>
          </w:tcPr>
          <w:p w:rsidR="00B82C6F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№</w:t>
            </w:r>
          </w:p>
          <w:p w:rsidR="00B82C6F" w:rsidRPr="001437A4" w:rsidRDefault="00B82C6F" w:rsidP="002B784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49" w:type="dxa"/>
            <w:gridSpan w:val="3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Образование отхода</w:t>
            </w:r>
          </w:p>
        </w:tc>
        <w:tc>
          <w:tcPr>
            <w:tcW w:w="5103" w:type="dxa"/>
            <w:gridSpan w:val="7"/>
          </w:tcPr>
          <w:p w:rsidR="00B82C6F" w:rsidRPr="001437A4" w:rsidRDefault="00B82C6F" w:rsidP="002B7846">
            <w:pPr>
              <w:tabs>
                <w:tab w:val="left" w:pos="1561"/>
              </w:tabs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 xml:space="preserve">Передано на </w:t>
            </w:r>
            <w:proofErr w:type="spellStart"/>
            <w:r w:rsidRPr="001437A4">
              <w:rPr>
                <w:sz w:val="18"/>
                <w:szCs w:val="18"/>
              </w:rPr>
              <w:t>демеркуризацию</w:t>
            </w:r>
            <w:proofErr w:type="spellEnd"/>
            <w:r w:rsidRPr="001437A4">
              <w:rPr>
                <w:sz w:val="18"/>
                <w:szCs w:val="18"/>
              </w:rPr>
              <w:t xml:space="preserve"> в специализированную форму</w:t>
            </w:r>
          </w:p>
        </w:tc>
        <w:tc>
          <w:tcPr>
            <w:tcW w:w="1080" w:type="dxa"/>
            <w:vMerge w:val="restart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отхода на площадке накопления</w:t>
            </w:r>
          </w:p>
        </w:tc>
        <w:tc>
          <w:tcPr>
            <w:tcW w:w="1141" w:type="dxa"/>
            <w:vMerge w:val="restart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Контрагент</w:t>
            </w:r>
          </w:p>
        </w:tc>
      </w:tr>
      <w:tr w:rsidR="00B82C6F" w:rsidTr="002B7846">
        <w:tc>
          <w:tcPr>
            <w:tcW w:w="445" w:type="dxa"/>
            <w:vMerge/>
          </w:tcPr>
          <w:p w:rsidR="00B82C6F" w:rsidRPr="001437A4" w:rsidRDefault="00B82C6F" w:rsidP="002B7846">
            <w:pPr>
              <w:pStyle w:val="3"/>
              <w:outlineLvl w:val="2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B82C6F" w:rsidRPr="001437A4" w:rsidRDefault="00B82C6F" w:rsidP="002B7846">
            <w:pPr>
              <w:pStyle w:val="3"/>
              <w:outlineLvl w:val="2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Дата или период отчета</w:t>
            </w:r>
          </w:p>
        </w:tc>
        <w:tc>
          <w:tcPr>
            <w:tcW w:w="992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Марка ламп</w:t>
            </w:r>
          </w:p>
        </w:tc>
        <w:tc>
          <w:tcPr>
            <w:tcW w:w="850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Колл.</w:t>
            </w:r>
          </w:p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отхода</w:t>
            </w:r>
          </w:p>
        </w:tc>
        <w:tc>
          <w:tcPr>
            <w:tcW w:w="709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Дата передачи отхода</w:t>
            </w:r>
          </w:p>
        </w:tc>
        <w:tc>
          <w:tcPr>
            <w:tcW w:w="709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 xml:space="preserve">Марка </w:t>
            </w:r>
            <w:proofErr w:type="spellStart"/>
            <w:r w:rsidRPr="001437A4">
              <w:rPr>
                <w:sz w:val="18"/>
                <w:szCs w:val="18"/>
              </w:rPr>
              <w:t>лаип</w:t>
            </w:r>
            <w:proofErr w:type="spellEnd"/>
          </w:p>
        </w:tc>
        <w:tc>
          <w:tcPr>
            <w:tcW w:w="709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Колл.</w:t>
            </w:r>
          </w:p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отхода</w:t>
            </w:r>
          </w:p>
        </w:tc>
        <w:tc>
          <w:tcPr>
            <w:tcW w:w="708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 xml:space="preserve">Подпись </w:t>
            </w:r>
          </w:p>
          <w:p w:rsidR="00B82C6F" w:rsidRPr="001437A4" w:rsidRDefault="00B82C6F" w:rsidP="002B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1437A4">
              <w:rPr>
                <w:sz w:val="18"/>
                <w:szCs w:val="18"/>
              </w:rPr>
              <w:t>ица сдавшего отходы</w:t>
            </w:r>
          </w:p>
        </w:tc>
        <w:tc>
          <w:tcPr>
            <w:tcW w:w="709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 xml:space="preserve">Подпись </w:t>
            </w:r>
          </w:p>
          <w:p w:rsidR="00B82C6F" w:rsidRPr="001437A4" w:rsidRDefault="00B82C6F" w:rsidP="002B7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1437A4">
              <w:rPr>
                <w:sz w:val="18"/>
                <w:szCs w:val="18"/>
              </w:rPr>
              <w:t>ица</w:t>
            </w:r>
            <w:r>
              <w:rPr>
                <w:sz w:val="18"/>
                <w:szCs w:val="18"/>
              </w:rPr>
              <w:t xml:space="preserve"> принявшего</w:t>
            </w:r>
            <w:r w:rsidRPr="001437A4">
              <w:rPr>
                <w:sz w:val="18"/>
                <w:szCs w:val="18"/>
              </w:rPr>
              <w:t xml:space="preserve"> отходы</w:t>
            </w:r>
          </w:p>
        </w:tc>
        <w:tc>
          <w:tcPr>
            <w:tcW w:w="709" w:type="dxa"/>
          </w:tcPr>
          <w:p w:rsidR="00B82C6F" w:rsidRPr="001437A4" w:rsidRDefault="00B82C6F" w:rsidP="002B7846">
            <w:pPr>
              <w:rPr>
                <w:sz w:val="18"/>
                <w:szCs w:val="18"/>
              </w:rPr>
            </w:pPr>
            <w:r w:rsidRPr="001437A4">
              <w:rPr>
                <w:sz w:val="18"/>
                <w:szCs w:val="18"/>
              </w:rPr>
              <w:t>Подтверждающий документ</w:t>
            </w:r>
            <w:proofErr w:type="gramStart"/>
            <w:r w:rsidRPr="001437A4">
              <w:rPr>
                <w:sz w:val="18"/>
                <w:szCs w:val="18"/>
              </w:rPr>
              <w:t xml:space="preserve"> (№</w:t>
            </w:r>
            <w:r w:rsidRPr="001437A4">
              <w:rPr>
                <w:sz w:val="18"/>
                <w:szCs w:val="18"/>
                <w:lang w:val="en-US"/>
              </w:rPr>
              <w:t>,</w:t>
            </w:r>
            <w:r w:rsidRPr="001437A4">
              <w:rPr>
                <w:sz w:val="18"/>
                <w:szCs w:val="18"/>
              </w:rPr>
              <w:t xml:space="preserve"> </w:t>
            </w:r>
            <w:proofErr w:type="gramEnd"/>
            <w:r w:rsidRPr="001437A4">
              <w:rPr>
                <w:sz w:val="18"/>
                <w:szCs w:val="18"/>
              </w:rPr>
              <w:t>дата)</w:t>
            </w:r>
          </w:p>
        </w:tc>
        <w:tc>
          <w:tcPr>
            <w:tcW w:w="1080" w:type="dxa"/>
            <w:vMerge/>
          </w:tcPr>
          <w:p w:rsidR="00B82C6F" w:rsidRPr="001437A4" w:rsidRDefault="00B82C6F" w:rsidP="002B7846">
            <w:pPr>
              <w:pStyle w:val="3"/>
              <w:outlineLvl w:val="2"/>
              <w:rPr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B82C6F" w:rsidRPr="001437A4" w:rsidRDefault="00B82C6F" w:rsidP="002B7846">
            <w:pPr>
              <w:pStyle w:val="3"/>
              <w:outlineLvl w:val="2"/>
              <w:rPr>
                <w:sz w:val="18"/>
                <w:szCs w:val="18"/>
              </w:rPr>
            </w:pPr>
          </w:p>
        </w:tc>
      </w:tr>
      <w:tr w:rsidR="00B82C6F" w:rsidTr="002B7846">
        <w:tc>
          <w:tcPr>
            <w:tcW w:w="445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97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56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992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85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8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08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141" w:type="dxa"/>
          </w:tcPr>
          <w:p w:rsidR="00B82C6F" w:rsidRDefault="00B82C6F" w:rsidP="002B7846">
            <w:pPr>
              <w:pStyle w:val="3"/>
              <w:outlineLvl w:val="2"/>
            </w:pPr>
          </w:p>
        </w:tc>
      </w:tr>
      <w:tr w:rsidR="00B82C6F" w:rsidTr="002B7846">
        <w:tc>
          <w:tcPr>
            <w:tcW w:w="445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97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56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992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85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8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08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141" w:type="dxa"/>
          </w:tcPr>
          <w:p w:rsidR="00B82C6F" w:rsidRDefault="00B82C6F" w:rsidP="002B7846">
            <w:pPr>
              <w:pStyle w:val="3"/>
              <w:outlineLvl w:val="2"/>
            </w:pPr>
          </w:p>
        </w:tc>
      </w:tr>
      <w:tr w:rsidR="00B82C6F" w:rsidTr="002B7846">
        <w:tc>
          <w:tcPr>
            <w:tcW w:w="445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97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56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992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85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8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08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141" w:type="dxa"/>
          </w:tcPr>
          <w:p w:rsidR="00B82C6F" w:rsidRDefault="00B82C6F" w:rsidP="002B7846">
            <w:pPr>
              <w:pStyle w:val="3"/>
              <w:outlineLvl w:val="2"/>
            </w:pPr>
          </w:p>
        </w:tc>
      </w:tr>
      <w:tr w:rsidR="00B82C6F" w:rsidTr="002B7846">
        <w:tc>
          <w:tcPr>
            <w:tcW w:w="445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97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56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992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85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8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709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080" w:type="dxa"/>
          </w:tcPr>
          <w:p w:rsidR="00B82C6F" w:rsidRDefault="00B82C6F" w:rsidP="002B7846">
            <w:pPr>
              <w:pStyle w:val="3"/>
              <w:outlineLvl w:val="2"/>
            </w:pPr>
          </w:p>
        </w:tc>
        <w:tc>
          <w:tcPr>
            <w:tcW w:w="1141" w:type="dxa"/>
          </w:tcPr>
          <w:p w:rsidR="00B82C6F" w:rsidRDefault="00B82C6F" w:rsidP="002B7846">
            <w:pPr>
              <w:pStyle w:val="3"/>
              <w:outlineLvl w:val="2"/>
            </w:pPr>
          </w:p>
        </w:tc>
      </w:tr>
    </w:tbl>
    <w:p w:rsidR="00B82C6F" w:rsidRPr="008F69D5" w:rsidRDefault="00B82C6F" w:rsidP="00B82C6F">
      <w:pPr>
        <w:jc w:val="center"/>
        <w:rPr>
          <w:b/>
        </w:rPr>
      </w:pPr>
    </w:p>
    <w:p w:rsidR="00B82C6F" w:rsidRPr="003D276D" w:rsidRDefault="00B82C6F" w:rsidP="00B82C6F">
      <w:pPr>
        <w:jc w:val="center"/>
      </w:pPr>
      <w:r w:rsidRPr="008F69D5">
        <w:rPr>
          <w:b/>
        </w:rPr>
        <w:t>Приложение 4 (справочное). Средства ликвидации чрезвычайных ситуаций.</w:t>
      </w:r>
    </w:p>
    <w:p w:rsidR="00B82C6F" w:rsidRPr="003D276D" w:rsidRDefault="00B82C6F" w:rsidP="00B82C6F">
      <w:pPr>
        <w:pStyle w:val="a3"/>
        <w:spacing w:after="0" w:afterAutospacing="0"/>
        <w:jc w:val="both"/>
      </w:pPr>
      <w:proofErr w:type="spellStart"/>
      <w:proofErr w:type="gramStart"/>
      <w:r w:rsidRPr="003D276D">
        <w:rPr>
          <w:rStyle w:val="a4"/>
          <w:iCs/>
        </w:rPr>
        <w:t>Демеркуризационный</w:t>
      </w:r>
      <w:proofErr w:type="spellEnd"/>
      <w:r w:rsidRPr="003D276D">
        <w:rPr>
          <w:rStyle w:val="a4"/>
          <w:iCs/>
        </w:rPr>
        <w:t xml:space="preserve"> комплект</w:t>
      </w:r>
      <w:r w:rsidRPr="003D276D">
        <w:t xml:space="preserve"> – позволяет оперативно устранять неболь</w:t>
      </w:r>
      <w:r w:rsidRPr="003D276D">
        <w:softHyphen/>
        <w:t>шие проливы ртути при меха</w:t>
      </w:r>
      <w:r w:rsidRPr="003D276D">
        <w:softHyphen/>
        <w:t>ническом разрушении ртутьсо</w:t>
      </w:r>
      <w:r w:rsidRPr="003D276D">
        <w:softHyphen/>
        <w:t>держа</w:t>
      </w:r>
      <w:r w:rsidRPr="003D276D">
        <w:softHyphen/>
        <w:t>щих приборов (медицинские термо</w:t>
      </w:r>
      <w:r w:rsidRPr="003D276D">
        <w:softHyphen/>
        <w:t>метры, ртутьсодержащие лампы), уст</w:t>
      </w:r>
      <w:r w:rsidRPr="003D276D">
        <w:softHyphen/>
        <w:t>ранять ртутные загрязнения, состав</w:t>
      </w:r>
      <w:r w:rsidRPr="003D276D">
        <w:softHyphen/>
        <w:t>ляющие 8 - 10 ПДК до 0,0003 мг/м</w:t>
      </w:r>
      <w:r w:rsidRPr="003D276D">
        <w:rPr>
          <w:vertAlign w:val="superscript"/>
        </w:rPr>
        <w:t>3</w:t>
      </w:r>
      <w:r w:rsidRPr="003D276D">
        <w:t>).</w:t>
      </w:r>
      <w:proofErr w:type="gramEnd"/>
      <w:r w:rsidRPr="003D276D">
        <w:t xml:space="preserve"> Площадь обработки 10м</w:t>
      </w:r>
      <w:r w:rsidRPr="003D276D">
        <w:rPr>
          <w:vertAlign w:val="superscript"/>
        </w:rPr>
        <w:t>2</w:t>
      </w:r>
      <w:r w:rsidRPr="003D276D">
        <w:t>. Производи</w:t>
      </w:r>
      <w:r w:rsidRPr="003D276D">
        <w:softHyphen/>
        <w:t>тель: Россия. Сани</w:t>
      </w:r>
      <w:r w:rsidRPr="003D276D">
        <w:softHyphen/>
        <w:t>тарно-эпидемиоло</w:t>
      </w:r>
      <w:r w:rsidRPr="003D276D">
        <w:softHyphen/>
        <w:t>гическое заключение № 77.01.03.215.П.06451.03.4. от 29.03.04. Состав:</w:t>
      </w:r>
    </w:p>
    <w:p w:rsidR="00B82C6F" w:rsidRPr="003D276D" w:rsidRDefault="00B82C6F" w:rsidP="00B82C6F">
      <w:pPr>
        <w:pStyle w:val="a3"/>
        <w:numPr>
          <w:ilvl w:val="0"/>
          <w:numId w:val="1"/>
        </w:numPr>
        <w:spacing w:after="0" w:afterAutospacing="0"/>
        <w:jc w:val="both"/>
      </w:pPr>
      <w:r w:rsidRPr="003D276D">
        <w:t>запатентованный препарат «Э-200», включающий в себя серо</w:t>
      </w:r>
      <w:r w:rsidRPr="003D276D">
        <w:softHyphen/>
        <w:t>содержащее вещество, комплек</w:t>
      </w:r>
      <w:r w:rsidRPr="003D276D">
        <w:softHyphen/>
        <w:t>сообразо</w:t>
      </w:r>
      <w:r w:rsidRPr="003D276D">
        <w:softHyphen/>
        <w:t>ватель, поверхностно-активное вещество;</w:t>
      </w:r>
    </w:p>
    <w:p w:rsidR="00B82C6F" w:rsidRPr="003D276D" w:rsidRDefault="00B82C6F" w:rsidP="00B82C6F">
      <w:pPr>
        <w:pStyle w:val="a3"/>
        <w:numPr>
          <w:ilvl w:val="0"/>
          <w:numId w:val="1"/>
        </w:numPr>
        <w:spacing w:after="0" w:afterAutospacing="0"/>
        <w:jc w:val="both"/>
      </w:pPr>
      <w:proofErr w:type="gramStart"/>
      <w:r w:rsidRPr="003D276D">
        <w:t>материалы и приспособления для сбора ртути и защиты персонала (респиратор, перчатки, бахилы, шприц, кисточки медные, кисточка волосяная, влажные салфетки, лоток, совок);</w:t>
      </w:r>
      <w:proofErr w:type="gramEnd"/>
    </w:p>
    <w:p w:rsidR="00B82C6F" w:rsidRPr="003D276D" w:rsidRDefault="00B82C6F" w:rsidP="00B82C6F">
      <w:pPr>
        <w:pStyle w:val="a3"/>
        <w:numPr>
          <w:ilvl w:val="0"/>
          <w:numId w:val="1"/>
        </w:numPr>
        <w:spacing w:after="0" w:afterAutospacing="0"/>
        <w:jc w:val="both"/>
      </w:pPr>
      <w:r w:rsidRPr="003D276D">
        <w:t>инструкция по применению.</w:t>
      </w:r>
    </w:p>
    <w:p w:rsidR="00B82C6F" w:rsidRPr="003D276D" w:rsidRDefault="00B82C6F" w:rsidP="00B82C6F">
      <w:pPr>
        <w:pStyle w:val="a3"/>
        <w:spacing w:after="0" w:afterAutospacing="0"/>
        <w:jc w:val="both"/>
      </w:pPr>
      <w:r w:rsidRPr="003D276D">
        <w:rPr>
          <w:rStyle w:val="a4"/>
          <w:iCs/>
        </w:rPr>
        <w:t xml:space="preserve">Химический </w:t>
      </w:r>
      <w:proofErr w:type="spellStart"/>
      <w:r w:rsidRPr="003D276D">
        <w:rPr>
          <w:rStyle w:val="a4"/>
          <w:iCs/>
        </w:rPr>
        <w:t>демеркуризатор</w:t>
      </w:r>
      <w:proofErr w:type="spellEnd"/>
      <w:r w:rsidRPr="003D276D">
        <w:rPr>
          <w:rStyle w:val="a4"/>
          <w:iCs/>
        </w:rPr>
        <w:t xml:space="preserve"> промышленный ХД-3П (0,5кг)</w:t>
      </w:r>
      <w:r w:rsidRPr="003D276D">
        <w:rPr>
          <w:rStyle w:val="a4"/>
          <w:i/>
          <w:iCs/>
        </w:rPr>
        <w:t xml:space="preserve"> – </w:t>
      </w:r>
      <w:r w:rsidRPr="003D276D">
        <w:t>для профессионального и бытового применения. Наносится на проливы ртути и места возможных загрязнений, после чего активируется чистой водой. Резко снижает испаряемость капельной и открытой ртути и облегчает ее механический сбор. В местах расположения загрязнений меняет цвет, дей</w:t>
      </w:r>
      <w:r w:rsidRPr="003D276D">
        <w:softHyphen/>
        <w:t>ствуя одновременно и как индикатор. Применяется при ликвидации аварийных проли</w:t>
      </w:r>
      <w:r w:rsidRPr="003D276D">
        <w:softHyphen/>
        <w:t xml:space="preserve">вов ртути. Благодаря свойству пролонгированного действия, </w:t>
      </w:r>
      <w:proofErr w:type="spellStart"/>
      <w:r w:rsidRPr="003D276D">
        <w:t>демеркуризатор</w:t>
      </w:r>
      <w:proofErr w:type="spellEnd"/>
      <w:r w:rsidRPr="003D276D">
        <w:t xml:space="preserve"> ХД-3П</w:t>
      </w:r>
      <w:r w:rsidRPr="003D276D">
        <w:rPr>
          <w:rStyle w:val="a4"/>
          <w:i/>
          <w:iCs/>
        </w:rPr>
        <w:t xml:space="preserve"> </w:t>
      </w:r>
      <w:proofErr w:type="gramStart"/>
      <w:r w:rsidRPr="003D276D">
        <w:t>эффективен</w:t>
      </w:r>
      <w:proofErr w:type="gramEnd"/>
      <w:r w:rsidRPr="003D276D">
        <w:t xml:space="preserve"> для профилактики и при проведении </w:t>
      </w:r>
      <w:proofErr w:type="spellStart"/>
      <w:r w:rsidRPr="003D276D">
        <w:t>демеркуризации</w:t>
      </w:r>
      <w:proofErr w:type="spellEnd"/>
      <w:r w:rsidRPr="003D276D">
        <w:t xml:space="preserve">. </w:t>
      </w:r>
    </w:p>
    <w:p w:rsidR="00B82C6F" w:rsidRPr="003D276D" w:rsidRDefault="00B82C6F" w:rsidP="00B82C6F">
      <w:pPr>
        <w:pStyle w:val="a3"/>
        <w:spacing w:after="0" w:afterAutospacing="0"/>
        <w:jc w:val="both"/>
      </w:pPr>
      <w:r w:rsidRPr="003D276D">
        <w:t>Поставляется в пла</w:t>
      </w:r>
      <w:r w:rsidRPr="003D276D">
        <w:softHyphen/>
        <w:t xml:space="preserve">стиковых емкостях по 0,5кг. Расход </w:t>
      </w:r>
      <w:proofErr w:type="spellStart"/>
      <w:r w:rsidRPr="003D276D">
        <w:t>демеркуризатора</w:t>
      </w:r>
      <w:proofErr w:type="spellEnd"/>
      <w:r w:rsidRPr="003D276D">
        <w:t xml:space="preserve"> 0,1 кг/м².</w:t>
      </w:r>
    </w:p>
    <w:p w:rsidR="00B82C6F" w:rsidRPr="003D276D" w:rsidRDefault="00B82C6F" w:rsidP="00B82C6F">
      <w:pPr>
        <w:pStyle w:val="a3"/>
        <w:spacing w:after="0" w:afterAutospacing="0"/>
        <w:jc w:val="both"/>
      </w:pPr>
      <w:r w:rsidRPr="003D276D">
        <w:rPr>
          <w:rStyle w:val="a4"/>
          <w:iCs/>
        </w:rPr>
        <w:t xml:space="preserve">Набор для </w:t>
      </w:r>
      <w:proofErr w:type="spellStart"/>
      <w:r w:rsidRPr="003D276D">
        <w:rPr>
          <w:rStyle w:val="a4"/>
          <w:iCs/>
        </w:rPr>
        <w:t>демеркуризации</w:t>
      </w:r>
      <w:proofErr w:type="spellEnd"/>
      <w:r w:rsidRPr="003D276D">
        <w:rPr>
          <w:rStyle w:val="a4"/>
          <w:iCs/>
        </w:rPr>
        <w:t xml:space="preserve"> бытовой</w:t>
      </w:r>
      <w:r w:rsidRPr="003D276D">
        <w:rPr>
          <w:rStyle w:val="a4"/>
          <w:i/>
          <w:iCs/>
        </w:rPr>
        <w:t xml:space="preserve"> – </w:t>
      </w:r>
      <w:r w:rsidRPr="003D276D">
        <w:t>применяется для ликвидации небольших бытовых ртут</w:t>
      </w:r>
      <w:r w:rsidRPr="003D276D">
        <w:softHyphen/>
        <w:t xml:space="preserve">ных загрязнений, преимущественно для обезвреживания разбитых медицинских термометров. </w:t>
      </w:r>
    </w:p>
    <w:p w:rsidR="00B82C6F" w:rsidRDefault="00B82C6F" w:rsidP="00B82C6F">
      <w:pPr>
        <w:pStyle w:val="a3"/>
        <w:spacing w:after="0" w:afterAutospacing="0"/>
        <w:jc w:val="both"/>
      </w:pPr>
      <w:proofErr w:type="gramStart"/>
      <w:r w:rsidRPr="003D276D">
        <w:t>В состав набора включены: респиратор, перчатки, бахилы, шприц, кисточки медные, лоток, кон</w:t>
      </w:r>
      <w:r w:rsidRPr="003D276D">
        <w:softHyphen/>
        <w:t xml:space="preserve">тейнер, химический </w:t>
      </w:r>
      <w:proofErr w:type="spellStart"/>
      <w:r w:rsidRPr="003D276D">
        <w:t>демеркуризатор</w:t>
      </w:r>
      <w:proofErr w:type="spellEnd"/>
      <w:r w:rsidRPr="003D276D">
        <w:t xml:space="preserve"> ХД-1Б, кислота азот</w:t>
      </w:r>
      <w:r w:rsidRPr="003D276D">
        <w:softHyphen/>
        <w:t>ная.</w:t>
      </w:r>
      <w:proofErr w:type="gramEnd"/>
      <w:r w:rsidRPr="003D276D">
        <w:t xml:space="preserve"> Набор поставляется в герметичном пластиковом контейнере и рассчитан для ликвидации пролива ртути на площади до 5м². К набору прилагается под</w:t>
      </w:r>
      <w:r w:rsidRPr="003D276D">
        <w:softHyphen/>
        <w:t>робная инструкция по применению. Производитель: Россия. Санитарно-эпидемиологическое заключение № 77.03.215.П.06448.03.4 от 05.02.04</w:t>
      </w:r>
    </w:p>
    <w:p w:rsidR="00B82C6F" w:rsidRDefault="00B82C6F" w:rsidP="00B82C6F">
      <w:r>
        <w:rPr>
          <w:rStyle w:val="articleseparator"/>
        </w:rPr>
        <w:t> </w:t>
      </w:r>
      <w:r>
        <w:t xml:space="preserve"> </w:t>
      </w:r>
    </w:p>
    <w:p w:rsidR="00B75E98" w:rsidRDefault="00B82C6F"/>
    <w:sectPr w:rsidR="00B75E98" w:rsidSect="00FF39A2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0F7B"/>
    <w:multiLevelType w:val="multilevel"/>
    <w:tmpl w:val="059C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6F"/>
    <w:rsid w:val="00030C21"/>
    <w:rsid w:val="000B6061"/>
    <w:rsid w:val="004D1DA0"/>
    <w:rsid w:val="00B8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F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2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C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Normal (Web)"/>
    <w:basedOn w:val="a"/>
    <w:uiPriority w:val="99"/>
    <w:unhideWhenUsed/>
    <w:rsid w:val="00B82C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82C6F"/>
    <w:rPr>
      <w:b/>
      <w:bCs/>
    </w:rPr>
  </w:style>
  <w:style w:type="character" w:customStyle="1" w:styleId="articleseparator">
    <w:name w:val="article_separator"/>
    <w:basedOn w:val="a0"/>
    <w:rsid w:val="00B82C6F"/>
  </w:style>
  <w:style w:type="table" w:styleId="a5">
    <w:name w:val="Table Grid"/>
    <w:basedOn w:val="a1"/>
    <w:uiPriority w:val="59"/>
    <w:rsid w:val="00B82C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2017-01-20T11:58:00Z</dcterms:created>
  <dcterms:modified xsi:type="dcterms:W3CDTF">2017-01-20T11:58:00Z</dcterms:modified>
</cp:coreProperties>
</file>